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Об утверждении порядка и сроков подписания акта приемки оказа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нных услуг и (или) выполненных работ по капитальному ремонту общего имущества в многоквартирном доме, а также порядка взаимодействия участников подписания такого акта, в том числе с комиссией, осуществляющей приемку казанных услуг и (или) выполненных работ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В соответствии с </w:t>
      </w:r>
      <w:hyperlink r:id="rId11" w:tooltip="https://login.consultant.ru/link/?req=doc&amp;base=LAW&amp;n=460029&amp;dst=1091" w:history="1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8"/>
          </w:rPr>
          <w:t xml:space="preserve">частью 2 статьи 190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 Жилищного кодекса Российской Федерации, </w:t>
      </w:r>
      <w:hyperlink r:id="rId12" w:tooltip="https://login.consultant.ru/link/?req=doc&amp;base=RLAW201&amp;n=76040&amp;dst=100495" w:history="1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8"/>
          </w:rPr>
          <w:t xml:space="preserve">статьей 20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 Закона Еврейской автономной области оот 28.06.2013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br/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№ 324-ОЗ «О создании системы проведения капитального ремонта общего имущества в многоквартирных домах, расположенных на территории Еврейской автономной области» :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1. Утвердить прилагаемый  и сроки подписания акта приемки оказанн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ых услуг и (или) выполненных работ по капитальному ремонту общего имущества в многоквартирном доме, а также порядок взаимодействия участников подписания такого акта, в том числе с комиссией, осуществляющей приемку оказанных услуг и (или) выполненных работ.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2. Настоящее постановление вступает в силу со дня его официального опубликования.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5431"/>
      </w:tblGrid>
      <w:tr>
        <w:tblPrEx/>
        <w:trPr>
          <w:trHeight w:val="142"/>
        </w:trPr>
        <w:tc>
          <w:tcPr>
            <w:tcBorders>
              <w:top w:val="none" w:color="auto" w:sz="4" w:space="0"/>
              <w:left w:val="none" w:color="auto" w:sz="4" w:space="0"/>
              <w:bottom w:val="none" w:color="auto" w:sz="4" w:space="0"/>
              <w:right w:val="none" w:color="auto" w:sz="4" w:space="0"/>
            </w:tcBorders>
            <w:tcW w:w="4785" w:type="dxa"/>
            <w:textDirection w:val="lrTb"/>
            <w:noWrap w:val="false"/>
          </w:tcPr>
          <w:p>
            <w:pPr>
              <w:pStyle w:val="832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pacing w:val="0"/>
                <w:sz w:val="28"/>
              </w:rPr>
              <w:t xml:space="preserve">Губернатор области                                                                   </w:t>
            </w:r>
            <w:r>
              <w:rPr>
                <w:rFonts w:ascii="TimesNewRoman" w:hAnsi="TimesNewRoman" w:eastAsia="TimesNewRoman" w:cs="TimesNewRoman"/>
                <w:sz w:val="28"/>
              </w:rPr>
            </w:r>
          </w:p>
        </w:tc>
        <w:tc>
          <w:tcPr>
            <w:tcBorders>
              <w:top w:val="none" w:color="auto" w:sz="4" w:space="0"/>
              <w:left w:val="none" w:color="auto" w:sz="4" w:space="0"/>
              <w:bottom w:val="none" w:color="auto" w:sz="4" w:space="0"/>
              <w:right w:val="none" w:color="auto" w:sz="4" w:space="0"/>
            </w:tcBorders>
            <w:tcW w:w="5431" w:type="dxa"/>
            <w:textDirection w:val="lrTb"/>
            <w:noWrap w:val="false"/>
          </w:tcPr>
          <w:p>
            <w:pPr>
              <w:pStyle w:val="832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8"/>
              </w:rPr>
            </w:pPr>
            <w:r>
              <w:rPr>
                <w:rFonts w:ascii="TimesNewRoman" w:hAnsi="TimesNewRoman" w:eastAsia="TimesNewRoman" w:cs="TimesNewRoman"/>
                <w:spacing w:val="0"/>
                <w:sz w:val="28"/>
              </w:rPr>
              <w:t xml:space="preserve">                                     Р.Э. Гольдштейн</w:t>
            </w:r>
            <w:r>
              <w:rPr>
                <w:rFonts w:ascii="TimesNewRoman" w:hAnsi="TimesNewRoman" w:eastAsia="TimesNewRoman" w:cs="TimesNewRoman"/>
                <w:sz w:val="28"/>
              </w:rPr>
            </w:r>
          </w:p>
        </w:tc>
      </w:tr>
    </w:tbl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5386" w:firstLine="0"/>
        <w:jc w:val="lef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  <w:outlineLvl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Утвержден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5386" w:firstLine="0"/>
        <w:jc w:val="lef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постановлением правительства 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5386" w:firstLine="0"/>
        <w:jc w:val="lef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Еврейской автономной области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5386" w:firstLine="0"/>
        <w:jc w:val="lef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от _____________ № _________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5386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i w:val="0"/>
          <w:strike w:val="0"/>
          <w:sz w:val="28"/>
        </w:rPr>
      </w:pPr>
      <w:r/>
      <w:bookmarkStart w:id="1" w:name="Par33"/>
      <w:r/>
      <w:bookmarkEnd w:id="1"/>
      <w:r>
        <w:rPr>
          <w:rFonts w:ascii="TimesNewRoman" w:hAnsi="TimesNewRoman" w:eastAsia="TimesNewRoman" w:cs="TimesNewRoman"/>
          <w:b/>
          <w:i w:val="0"/>
          <w:strike w:val="0"/>
          <w:sz w:val="28"/>
        </w:rPr>
        <w:t xml:space="preserve">ПОРЯДОК</w:t>
      </w:r>
      <w:r>
        <w:rPr>
          <w:rFonts w:ascii="TimesNewRoman" w:hAnsi="TimesNewRoman" w:eastAsia="TimesNewRoman" w:cs="TimesNewRoman"/>
          <w:b/>
          <w:i w:val="0"/>
          <w:strike w:val="0"/>
          <w:sz w:val="28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/>
          <w:i w:val="0"/>
          <w:strike w:val="0"/>
          <w:sz w:val="28"/>
        </w:rPr>
        <w:t xml:space="preserve">И СРОКИ ПОДПИСАНИЯ АКТА ПРИЕМКИ ОКАЗАН</w:t>
      </w:r>
      <w:r>
        <w:rPr>
          <w:rFonts w:ascii="TimesNewRoman" w:hAnsi="TimesNewRoman" w:eastAsia="TimesNewRoman" w:cs="TimesNewRoman"/>
          <w:b/>
          <w:i w:val="0"/>
          <w:strike w:val="0"/>
          <w:sz w:val="28"/>
        </w:rPr>
        <w:t xml:space="preserve">НЫХ УСЛУГ И (ИЛИ) ВЫПОЛНЕННЫХ РАБОТ ПО КАПИТАЛЬНОМУ РЕМОНТУ ОБЩЕГО ИМУЩЕСТВА В МНОГОКВАРТИРНОМ ДОМЕ, А ТАКЖЕ ПОРЯДОК ВЗАИМОДЕЙСТВИЯ УЧАСТНИКОВ ПОДПИСАНИЯ ТАКОГО АКТА, В ТОМ ЧИСЛЕ С КОМИССИЕЙ, ОСУЩЕСТВЛЯЮЩЕЙ ПРИЕМКУ ОКАЗАННЫХ УСЛУГ И (ИЛИ) ВЫПОЛНЕННЫХ РАБОТ</w:t>
      </w:r>
      <w:r>
        <w:rPr>
          <w:rFonts w:ascii="TimesNewRoman" w:hAnsi="TimesNewRoman" w:eastAsia="TimesNewRoman" w:cs="TimesNewRoman"/>
          <w:b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i w:val="0"/>
          <w:strike w:val="0"/>
          <w:sz w:val="28"/>
        </w:rPr>
        <w:outlineLvl w:val="1"/>
      </w:pPr>
      <w:r>
        <w:rPr>
          <w:rFonts w:ascii="TimesNewRoman" w:hAnsi="TimesNewRoman" w:eastAsia="TimesNewRoman" w:cs="TimesNewRoman"/>
          <w:b/>
          <w:i w:val="0"/>
          <w:strike w:val="0"/>
          <w:sz w:val="28"/>
        </w:rPr>
        <w:t xml:space="preserve">I. Общие положения</w:t>
      </w:r>
      <w:r>
        <w:rPr>
          <w:rFonts w:ascii="TimesNewRoman" w:hAnsi="TimesNewRoman" w:eastAsia="TimesNewRoman" w:cs="TimesNewRoman"/>
          <w:b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1. Настоящий Порядок и сроки подписания акта приемки оказанных услуг и 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(или) выполненных работ по капитальному ремонту общего имущества в многоквартирном доме, а также порядок взаимодействия участников подписания такого акта, в том числе с комиссией, осуществляющей приемку оказанных услуг и (или) выполненных работ (далее - По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рядок), устанавливает процедуру приемки оказанных услуг и (или) выполненных работ по капитальному ремонту общего имущества в многоквартирных домах, расположенных на территории Еврейской автономной области (далее - работы по капитальному ремонту), регламент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ирует порядок и сроки подписания акта приемки выполненных работ по капитальному ремонту (далее - акт приемки), порядок взаимодействия участников подписания акта приемки и урегулирования разногласий, возникающих в ходе приемки работ по капитальному ремонту.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2. Перечень работ по капитальному ремонту, подлежащих приемке в соответствии с настоящ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им Порядком, определяется краткосрочным планом реализации региональной программы капитального ремонта общего имущества в многоквартирных домах, расположенных на территории Еврейской автономной области , на соответствующие годы (далее - краткосрочный план).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В случае возникновения аварии, иных чрезвычайных ситуаций природного или техногенного характера решение по вопросам, предусмотренным </w:t>
      </w:r>
      <w:hyperlink r:id="rId13" w:tooltip="https://login.consultant.ru/link/?req=doc&amp;base=LAW&amp;n=460029&amp;dst=101676" w:history="1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8"/>
          </w:rPr>
          <w:t xml:space="preserve">пунктами 1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 и </w:t>
      </w:r>
      <w:hyperlink r:id="rId14" w:tooltip="https://login.consultant.ru/link/?req=doc&amp;base=LAW&amp;n=460029&amp;dst=101677" w:history="1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8"/>
          </w:rPr>
          <w:t xml:space="preserve">2 части 5 статьи 189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 Жилищного кодекса Российской Федерации (далее - Жилищный кодекс), принимается в порядке, установленном </w:t>
      </w:r>
      <w:hyperlink r:id="rId15" w:tooltip="https://login.consultant.ru/link/?req=doc&amp;base=RLAW201&amp;n=55578" w:history="1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8"/>
          </w:rPr>
          <w:t xml:space="preserve">постановлением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 правительства Еврейской автономной области  от 13.12.2017 № 500-пп «Об утверждении Порядка принятия решения о проведении капитального ремонта общего имущества в многоквартирном доме в случае возникновения в нем аварии, иных чрезвычайных ситуаций природн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ого или техногенного характера». В указанном случае работы по капитальному ремонту, проведение которого необходимо для ликвидации последствий, возникших вследствие аварии, чрезвычайной ситуации, проводятся до включения указанных работ в краткосрочный план.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3. Приемка работ по капитальному ремонту осуществляется в соответствии с федеральными законами и иными нормативными правовыми актами Российской Федерации с учетом особенностей, установленных Жилищным </w:t>
      </w:r>
      <w:hyperlink r:id="rId16" w:tooltip="https://login.consultant.ru/link/?req=doc&amp;base=LAW&amp;n=460029" w:history="1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8"/>
          </w:rPr>
          <w:t xml:space="preserve">кодексом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, принятыми в соответствии с ним законами и иными нормативными правовыми актами Еврейской автономной области , требованиями настоящего Порядка, а также условиями договора на выполнение работ по капитальному ремонту (далее - договор).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4. Приемка работ по капитальному ремонту в соответствии с настоя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щим Порядком осуществляется в отношении многоквартирных домов, включенных в краткосрочный план, либо многоквартирных домов, нуждающихся в ликвидации последствий, возникших вследствие аварии, иных чрезвычайных ситуаций природного или техногенного характера.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709"/>
        <w:jc w:val="center"/>
        <w:spacing w:before="0" w:after="0" w:line="240" w:lineRule="auto"/>
        <w:rPr>
          <w:rFonts w:ascii="TimesNewRoman" w:hAnsi="TimesNewRoman" w:eastAsia="TimesNewRoman" w:cs="TimesNewRoman"/>
          <w:b/>
          <w:i w:val="0"/>
          <w:strike w:val="0"/>
          <w:sz w:val="28"/>
        </w:rPr>
        <w:outlineLvl w:val="1"/>
      </w:pPr>
      <w:r>
        <w:rPr>
          <w:rFonts w:ascii="TimesNewRoman" w:hAnsi="TimesNewRoman" w:eastAsia="TimesNewRoman" w:cs="TimesNewRoman"/>
          <w:b/>
          <w:i w:val="0"/>
          <w:strike w:val="0"/>
          <w:sz w:val="28"/>
        </w:rPr>
        <w:t xml:space="preserve">II. Организация приемки выполненных работ</w:t>
      </w:r>
      <w:r>
        <w:rPr>
          <w:rFonts w:ascii="TimesNewRoman" w:hAnsi="TimesNewRoman" w:eastAsia="TimesNewRoman" w:cs="TimesNewRoman"/>
          <w:b/>
          <w:i w:val="0"/>
          <w:strike w:val="0"/>
          <w:sz w:val="28"/>
        </w:rPr>
      </w:r>
    </w:p>
    <w:p>
      <w:pPr>
        <w:pStyle w:val="832"/>
        <w:ind w:left="0" w:firstLine="709"/>
        <w:jc w:val="center"/>
        <w:spacing w:before="0" w:after="0" w:line="240" w:lineRule="auto"/>
        <w:rPr>
          <w:rFonts w:ascii="TimesNewRoman" w:hAnsi="TimesNewRoman" w:eastAsia="TimesNewRoman" w:cs="TimesNewRoman"/>
          <w:b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/>
          <w:i w:val="0"/>
          <w:strike w:val="0"/>
          <w:sz w:val="28"/>
        </w:rPr>
        <w:t xml:space="preserve">по капитальному ремонту</w:t>
      </w:r>
      <w:r>
        <w:rPr>
          <w:rFonts w:ascii="TimesNewRoman" w:hAnsi="TimesNewRoman" w:eastAsia="TimesNewRoman" w:cs="TimesNewRoman"/>
          <w:b/>
          <w:i w:val="0"/>
          <w:strike w:val="0"/>
          <w:sz w:val="28"/>
        </w:rPr>
      </w:r>
    </w:p>
    <w:p>
      <w:pPr>
        <w:pStyle w:val="832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5. Состав комиссии по приемке выполненных работ по капитальному ремонту (далее - комиссия) утверждается региональным фондом капитального ремонта многоквартирных домов Еврейской автономной области  (далее - региональный оператор).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6. В состав комиссии включаются: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1) представитель регионального оператора;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2) представитель организации, осуществляющей строительный контроль;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3) представитель подрядной организации;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4) представитель органа исполнительной власти Еврейской автономной области, уполномоченного на учреждение регионального оператора (по согласованию);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5) представитель органа местного самоуправления муниципального образования Еврейской автономной области по месту нахождения многоквартирного дома, в котором проведен капитальный ремонт (далее - орган местного самоуправления);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6) представитель лица, осуществляющего управление (эксплуатацию) многоквартирным домом (при наличии);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7) лицо, которое от имени всех собственников помещений в многоквартирном доме уполномочено участвовать в приемке выпол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ненных работ по капитальному ремонту, в том числе подписывать соответствующие акты (в случае, если капитальный ремонт проводится на основании решения собственников помещений в этом многоквартирном доме) (далее - уполномоченный представитель собственников).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7. В случаях, установленных действующим законодательством Российской Федерации, в состав комиссии могут включаться представители организации, осуществляющей авторский надзор, Федеральной службы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 по экологическому, технологическому и атомному надзору, а также специализированной организации, осуществляющей эксплуатацию лифтов, систем газоснабжения, иные лица, участие которых предусмотрено нормативными правовыми актами Еврейской автономной области 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8. Приемку работ по капитальному ре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монту организует региональный оператор, за исключением случаев, когда договором предусмотрено, что организация работы комиссии, подготовка ее заседаний осуществляется подрядной организацией, выполнившей работы по капитальному ремонту (далее - организатор).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9. Не позднее чем за 10 рабочих дней до даты приемки работ по капитальному ремонту, но не ранее получения региональным оператором от подрядной организации уведомления об окончании работ п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о капитальному ремонту в полном объеме, организатор направляет членам комиссии уведомление, содержащее сведения о времени и месте передачи результатов работ по капитальному ремонту, способом, обеспечивающим подтверждение получения ими указанного документа.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10. В ходе приемки работ члены комиссии осуществляют визуальный осмотр результатов работ по капитальному ремонту в целях проверки соответствия выполненных работ запланированным краткосрочным планам, условиям договора и проектно-сметной документации.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11. Подрядная организация по требованию членов комиссии до начала приемки результатов работ по капитальному ремонту обеспечивает им возможность ознакомления с полным комплектом исполнительной документации на соответствующий вид работ.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12. По итогам пр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иемки работ по капитальному ремонту в случае отсутствия замечаний к результатам их выполнения члены комиссии подписывают  приемки выполненных строительно-монтажных работ по договору (далее - акт приемки) по форме согласно приложению 1 к настоящему Порядку.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709"/>
        <w:jc w:val="center"/>
        <w:spacing w:before="0" w:after="0" w:line="240" w:lineRule="auto"/>
        <w:rPr>
          <w:rFonts w:ascii="TimesNewRoman" w:hAnsi="TimesNewRoman" w:eastAsia="TimesNewRoman" w:cs="TimesNewRoman"/>
          <w:b/>
          <w:i w:val="0"/>
          <w:strike w:val="0"/>
          <w:sz w:val="28"/>
        </w:rPr>
        <w:outlineLvl w:val="1"/>
      </w:pPr>
      <w:r>
        <w:rPr>
          <w:rFonts w:ascii="TimesNewRoman" w:hAnsi="TimesNewRoman" w:eastAsia="TimesNewRoman" w:cs="TimesNewRoman"/>
          <w:b/>
          <w:i w:val="0"/>
          <w:strike w:val="0"/>
          <w:sz w:val="28"/>
        </w:rPr>
        <w:t xml:space="preserve">III. Урегулирование конфликтных ситуаций, возникших</w:t>
      </w:r>
      <w:r>
        <w:rPr>
          <w:rFonts w:ascii="TimesNewRoman" w:hAnsi="TimesNewRoman" w:eastAsia="TimesNewRoman" w:cs="TimesNewRoman"/>
          <w:b/>
          <w:i w:val="0"/>
          <w:strike w:val="0"/>
          <w:sz w:val="28"/>
        </w:rPr>
      </w:r>
    </w:p>
    <w:p>
      <w:pPr>
        <w:pStyle w:val="832"/>
        <w:ind w:left="0" w:firstLine="709"/>
        <w:jc w:val="center"/>
        <w:spacing w:before="0" w:after="0" w:line="240" w:lineRule="auto"/>
        <w:rPr>
          <w:rFonts w:ascii="TimesNewRoman" w:hAnsi="TimesNewRoman" w:eastAsia="TimesNewRoman" w:cs="TimesNewRoman"/>
          <w:b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/>
          <w:i w:val="0"/>
          <w:strike w:val="0"/>
          <w:sz w:val="28"/>
        </w:rPr>
        <w:t xml:space="preserve">при приемке выполненных работ по капитальному ремонту</w:t>
      </w:r>
      <w:r>
        <w:rPr>
          <w:rFonts w:ascii="TimesNewRoman" w:hAnsi="TimesNewRoman" w:eastAsia="TimesNewRoman" w:cs="TimesNewRoman"/>
          <w:b/>
          <w:i w:val="0"/>
          <w:strike w:val="0"/>
          <w:sz w:val="28"/>
        </w:rPr>
      </w:r>
    </w:p>
    <w:p>
      <w:pPr>
        <w:pStyle w:val="832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/>
      <w:bookmarkStart w:id="2" w:name="Par71"/>
      <w:r/>
      <w:bookmarkEnd w:id="2"/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13. Если в ходе работы комиссии возникли разногласия, выразившиеся в отказе от подписания а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кта приемки отдельными членами комиссии, в день заседания составляется  заседания комиссии о возникших разногласиях в ходе приемки выполненных работ по капитальному ремонту (далее - протокол разногласий) по форме согласно приложению 2 к настоящему Порядку.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Член комиссии, отказавшийся от подписан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ия акта приемки, обязан в течение трех рабочих дней со дня, следующего за днем составления протокола разногласий, представить организатору мотивированный письменный отказ для направления на ознакомление членам комиссии и рассмотрения на заседании комиссии.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14. В протоколе разногласий определяется место, дата и время заседания комиссии для рассмотрения письменного мотивированного отказа от подписания акта приемки.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15. Отказ от подписания акта приемки с учетом требований </w:t>
      </w:r>
      <w:hyperlink r:id="rId17" w:tooltip="https://login.consultant.ru/link/?req=doc&amp;base=LAW&amp;n=449455&amp;dst=101230" w:history="1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8"/>
          </w:rPr>
          <w:t xml:space="preserve">части 4 статьи 753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 Гражданского кодекса Российской Федерации должен быть мотивированным и допускается в следующих случаях: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состав и (или) объем выполненных работ по капитальному ремонту, указанные в акте приемки, отличаются от состава и (или) объема работ, предусмотренных проектной документацией на выполнение соответствующих работ по капитальному ремонту;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обнаружение недостатков (дефектов) в результатах выполненных работ по капитальному ремонту соответствующего конструктивного элемента, внутридомовой инженерной системы.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16. В случае если причины, указанные в письменном мотивированном отказе от подписания акта приемки, решени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ем комиссии признаны обоснованными, выявленные замечания фиксируются в акте приемки с указанием срока их устранения. Составленный протокол разногласий с письменным мотивированным отказом от подписания акта приемки является неотъемлемой частью акта приемки.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17. После устранения замечаний процедура приемки работ проводится повторно в соответствии с требованиями настоящего Порядка.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18. Если член комиссии (за исключением представителя органа местного самоуправления и уполномоченного представителя собственников), отказавшийся от подписания акта приемки, не представил в срок, установленный  насто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ящего Порядка, письменный мотивированный отказ либо представленный письменный отказ не содержит мотивированное обоснование принятого им решения, комиссия большинством голосов принимает решение о подписании акта приемки всеми членами комиссии без замечаний.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19. Немотивированный отказ от подпис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ания акта приемки, представление немотивированных возражений (замечаний) либо уклонение от участия в работе комиссии уполномоченного представителя органа местного самоуправления, а также уполномоченного представителя собственников помещений не допускается.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Факты отказа или отсутствия письменного мотивированного отказа фиксируются комиссией в акте приемки.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20. Решения, принимаемые комиссией, могут быть обжалованы в судебном порядке, установленном законодательством Российской Федерации.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4394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  <w:outlineLvl w:val="1"/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Приложение 1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4394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к Порядку и срокам подписания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4394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акта приемки оказанных услуг и (или)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4394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выполненных работ по капитальному ремонту общего имущества в многоквартирном доме, а также порядку 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4394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взаимодействия участников подписания такого акта, в том числе с комиссией, осуществляющей приемку оказанных услуг и (или) выполненных работ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57"/>
        <w:gridCol w:w="4876"/>
      </w:tblGrid>
      <w:tr>
        <w:tblPrEx/>
        <w:trPr>
          <w:jc w:val="left"/>
        </w:trPr>
        <w:tc>
          <w:tcPr>
            <w:gridSpan w:val="2"/>
            <w:tcBorders>
              <w:top w:val="none" w:color="auto" w:sz="4" w:space="0"/>
              <w:left w:val="none" w:color="auto" w:sz="4" w:space="0"/>
              <w:bottom w:val="none" w:color="auto" w:sz="4" w:space="0"/>
              <w:right w:val="none" w:color="auto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/>
            <w:bookmarkStart w:id="3" w:name="Par99"/>
            <w:r/>
            <w:bookmarkEnd w:id="3"/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Акт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приемки оказанных услуг и (или) выполненных работ по капитальному ремонту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общего имущества в многоквартирном доме по адресу: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__________________________________________________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по договору № __________ от ____________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auto" w:sz="4" w:space="0"/>
              <w:left w:val="none" w:color="auto" w:sz="4" w:space="0"/>
              <w:bottom w:val="none" w:color="auto" w:sz="4" w:space="0"/>
              <w:right w:val="none" w:color="auto" w:sz="4" w:space="0"/>
            </w:tcBorders>
            <w:tcW w:w="4257" w:type="dxa"/>
            <w:textDirection w:val="lrTb"/>
            <w:noWrap w:val="false"/>
          </w:tcPr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none" w:color="auto" w:sz="4" w:space="0"/>
              <w:left w:val="none" w:color="auto" w:sz="4" w:space="0"/>
              <w:bottom w:val="none" w:color="auto" w:sz="4" w:space="0"/>
              <w:right w:val="none" w:color="auto" w:sz="4" w:space="0"/>
            </w:tcBorders>
            <w:tcW w:w="4876" w:type="dxa"/>
            <w:textDirection w:val="lrTb"/>
            <w:noWrap w:val="false"/>
          </w:tcPr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"___" ____________ 20___ г.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none" w:color="auto" w:sz="4" w:space="0"/>
              <w:left w:val="none" w:color="auto" w:sz="4" w:space="0"/>
              <w:bottom w:val="none" w:color="auto" w:sz="4" w:space="0"/>
              <w:right w:val="none" w:color="auto" w:sz="4" w:space="0"/>
            </w:tcBorders>
            <w:tcW w:w="9133" w:type="dxa"/>
            <w:hMerge w:val="restart"/>
            <w:textDirection w:val="lrTb"/>
            <w:noWrap w:val="false"/>
          </w:tcPr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1. Комиссия в составе: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представителя регионального оператора в лице    _____________________,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(должность, фамилия, имя, отчество)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представителя строительного контроля в лице _______________________,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(должность, фамилия, имя, отчество)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28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представителя подрядчика в лице ________________________________,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(должность, фамилия, имя, отчество)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представителя органа исполнительной власти Еврейской автономной области , уполномоченного на учреждение регионального оператора, в лице ________________________________,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(должность, фамилия, имя, отчество)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28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представителя органа местного самоуправления в лице ________________,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(должность, фамилия, имя, отчество)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28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представителя организации, осуществляющей управление (эксплуатацию) МКД, в лице ___________________________________,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(должность, фамилия, имя, отчество)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уполномоченного представителя собственников МКД в лице    _________,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(фамилия, имя, отчество, документ, подтверждающий личность) действующего на основании решения общего собрания собственников помещений, протокол от ________________ № _______,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28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представителя члена комиссии, привлеченного по согласованию, в лице ___________________________________________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должность, фамилия, имя, отчество)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рассмотрела предъявленные подрядчиком к приемке выполненные работы по капитальному ремонту.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2. Работы по капитальному ремонту осуществлены в сроки: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начало работ: "___"_____________ 20___ г.;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окончание работ: "___"_____________ 20___ г.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3. Предъявленные к приемке законченные работы по капитальному ремонту: _________________________________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                                  (вид работ)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4. Гарантийный срок составляет ______________ лет.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Заключение комиссии.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________________________________________________________________________________________________________________________________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Решение комиссии.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Принять предъявленные к приемке законченные работы по капитальному ремонту _____________________________ в МКД по адресу: ________________________________, выполненные в соответствии с утвержденной проектной и сметной документацией, с заводскими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 инструкциями и технической документацией производителей оборудования, отвечающие санитарно-эпидемиологическим, экологическим, пожарным, строительным нормам и правилам, государственным стандартам. На момент приемки ущерб третьим лицам ____________________.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54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(устранен/отсутствует)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Члены комиссии: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представитель регионального оператора в лице______________________,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(должность, фамилия, имя, отчество)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представитель строительного контроля в лице ______________________,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                                               должность, фамилия, имя, отчество)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представитель подрядчика в лице _________________________________,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(должность, фамилия, имя, отчество)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представитель органа исполнительной власти Еврейской автономной области , уполномоченного на учреждение регионального оператора, в лице ________________________________,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(должность, фамилия, имя, отчество)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представитель органа местного самоуправления в лице ________________,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(должность, фамилия, инициалы)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представитель организации, осуществляющей управление (эксплуатацию) МКД, в лице _________________________,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(должность, фамилия, имя, отчество)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уполномоченный представитель собственников МКД в лице    __________,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(должность, фамилия, имя, отчество, документ, подтверждающий личность) действующий на основании решения общего собрания собственников помещений, протокол от ______________ N _______,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представитель члена комиссии, привлеченного по согласованию, в лице __.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(должность, фамилия, имя, отчество)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</w:tbl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4819" w:firstLine="0"/>
        <w:jc w:val="lef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  <w:outlineLvl w:val="1"/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Приложение 2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4819" w:firstLine="0"/>
        <w:jc w:val="lef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к Порядку и срокам подписания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4819" w:firstLine="0"/>
        <w:jc w:val="lef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акта приемки оказанных услуг и (или) выполненных работ по капитальному ремонту общего имущества в многоквартирном доме,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4819" w:firstLine="0"/>
        <w:jc w:val="lef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а также порядку взаимодействия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4819" w:firstLine="0"/>
        <w:jc w:val="lef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участников подписания такого акта,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4819" w:firstLine="0"/>
        <w:jc w:val="lef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в том числе с комиссией, осуществляющей приемку оказанных услуг и (или) выполненных работ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82"/>
        <w:gridCol w:w="4195"/>
      </w:tblGrid>
      <w:tr>
        <w:tblPrEx/>
        <w:trPr>
          <w:jc w:val="left"/>
        </w:trPr>
        <w:tc>
          <w:tcPr>
            <w:gridSpan w:val="2"/>
            <w:tcBorders>
              <w:top w:val="none" w:color="auto" w:sz="4" w:space="0"/>
              <w:left w:val="none" w:color="auto" w:sz="4" w:space="0"/>
              <w:bottom w:val="none" w:color="auto" w:sz="4" w:space="0"/>
              <w:right w:val="none" w:color="auto" w:sz="4" w:space="0"/>
            </w:tcBorders>
            <w:tcW w:w="9077" w:type="dxa"/>
            <w:hMerge w:val="restart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/>
            <w:bookmarkStart w:id="4" w:name="Par190"/>
            <w:r/>
            <w:bookmarkEnd w:id="4"/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ПРОТОКОЛ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заседания комиссии о возникших разногласиях в ходе приемки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выполненных работ по капитальному ремонту общего имущества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в многоквартирном доме по адресу: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_____________________________________________________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по договору № __________ от ____________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auto" w:sz="4" w:space="0"/>
              <w:left w:val="none" w:color="auto" w:sz="4" w:space="0"/>
              <w:bottom w:val="none" w:color="auto" w:sz="4" w:space="0"/>
              <w:right w:val="none" w:color="auto" w:sz="4" w:space="0"/>
            </w:tcBorders>
            <w:tcW w:w="4882" w:type="dxa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none" w:color="auto" w:sz="4" w:space="0"/>
              <w:left w:val="none" w:color="auto" w:sz="4" w:space="0"/>
              <w:bottom w:val="none" w:color="auto" w:sz="4" w:space="0"/>
              <w:right w:val="none" w:color="auto" w:sz="4" w:space="0"/>
            </w:tcBorders>
            <w:tcW w:w="4195" w:type="dxa"/>
            <w:textDirection w:val="lrTb"/>
            <w:noWrap w:val="false"/>
          </w:tcPr>
          <w:p>
            <w:pPr>
              <w:pStyle w:val="832"/>
              <w:ind w:left="0" w:firstLine="0"/>
              <w:jc w:val="righ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"___" _____________ 20___ г.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Borders>
              <w:top w:val="none" w:color="auto" w:sz="4" w:space="0"/>
              <w:left w:val="none" w:color="auto" w:sz="4" w:space="0"/>
              <w:bottom w:val="none" w:color="auto" w:sz="4" w:space="0"/>
              <w:right w:val="none" w:color="auto" w:sz="4" w:space="0"/>
            </w:tcBorders>
            <w:tcW w:w="9077" w:type="dxa"/>
            <w:hMerge w:val="restart"/>
            <w:textDirection w:val="lrTb"/>
            <w:noWrap w:val="false"/>
          </w:tcPr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Присутствовали: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28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представитель регионального оператора в лице ____________________________   ______________________________,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(должность, фамилия, имя, отчество)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представитель строительного контроля в лице _______________________________________________________________,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(должность, фамилия, имя, отчество)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представитель подрядчика в лице ________________________________________________________,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(должность, фамилия, имя, отчество)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представитель органа исполнительной власти Еврейской автономной области , уполномоченного на учреждение регионального оператора, в лице  ______________________________ ___________________________,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(должность, фамилия, имя, отчество)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представитель органа местного самоуправления в лице _____________________________________________________________,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(должность, фамилия, имя, отчество)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представитель организации, осуществляющей управление (эксплуатацию) МКД, в лице ________________________________________________,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(должность, фамилия, имя, отчество)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уполномоченный представитель собственников МКД в лице ____________________________________________________,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(фамилия, имя, отчество, документ, подтверждающий личность),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действующий на основании решения общего собрания собственников помещений, протокол от _______________ № _______, представитель члена комиссии, привлеченного по согласованию, в лице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_________________________________________________________.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(должность, фамилия, имя, отчество)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28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В ходе приемки результатов выполненных подрядчиком работ по капитальному ремонту ________________________________________ многоквартирного дома по вышеуказанному адресу представителем(ями) _________________________________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заявлен отказ от подписания акта приемки оказанных услуг и (или) выполненных работ по капитальному ремонту по договору №  __________ от ____________ в связи с наличием возражений.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Представителю(ям) ____________________________________________________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комиссией предложено в течение трех рабочих дней со дня, следующе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го за днем составления настоящего протокола о разногласиях, то есть в срок до __________________, представить региональному оператору по адресу: __________________________________ - письменное мотивированное мнение (отказ), обосновывающее принятое решение.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283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Рассмотрение письменного мотивированного мнения (отказа) представителя(ей) _________________________________________________________________________ комиссией назначено на "___" _____________ 20___ г. в ______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по адресу: _______________________________________________________________.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Члены комиссии: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представитель регионального оператора в лице _________________________________________________________,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(должность, фамилия, имя, отчество)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представитель строительного контроля в лице ______________________________________________________,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(должность, фамилия, имя, отчество)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представитель подрядчика в лице ________________________________________________________,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(должность, фамилия, имя, отчество)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представитель органа исполнительной власти Еврейской автономной области , уполномоченного на учреждение регионального оператора, в лице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_________________________________________________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(должность, фамилия, имя, отчество)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представитель органа местного самоуправления в лице ___________________________________________________________,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(должность, фамилия, инициалы)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представитель организации, осуществляющей управление (эксплуатацию) МКД, в лице __________________________________________,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(должность, фамилия, имя, отчество)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уполномоченный представитель собственников МКД в лице ________________________________________________________,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(должность, фамилия, имя, отчество, документ, подтверждающий личность), действующий на основании решения общего собрания собственников помещений, протокол от _______________ N _______,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представитель члена комиссии, привлеченного по согласованию, в лице ___________________________________________________________.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(должность, фамилия, имя, отчество)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</w:tbl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850" w:bottom="1134" w:left="1701" w:header="567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832"/>
        <w:jc w:val="left"/>
        <w:spacing w:before="0" w:after="0" w:line="240" w:lineRule="auto"/>
        <w:rPr>
          <w:sz w:val="24"/>
        </w:rPr>
      </w:pPr>
      <w:r>
        <w:rPr>
          <w:rFonts w:ascii="Arial" w:hAnsi="Arial" w:eastAsia="Arial" w:cs="Arial"/>
          <w:sz w:val="24"/>
        </w:rPr>
        <w:separator/>
      </w:r>
      <w:r>
        <w:rPr>
          <w:sz w:val="24"/>
        </w:rPr>
      </w:r>
    </w:p>
  </w:endnote>
  <w:endnote w:type="continuationSeparator" w:id="0">
    <w:p>
      <w:pPr>
        <w:pStyle w:val="832"/>
        <w:jc w:val="left"/>
        <w:spacing w:before="0" w:after="0" w:line="240" w:lineRule="auto"/>
        <w:rPr>
          <w:sz w:val="24"/>
        </w:rPr>
      </w:pPr>
      <w:r>
        <w:rPr>
          <w:rFonts w:ascii="Arial" w:hAnsi="Arial" w:eastAsia="Arial" w:cs="Arial"/>
          <w:sz w:val="24"/>
        </w:rPr>
        <w:separator/>
      </w:r>
      <w:r>
        <w:rPr>
          <w:sz w:val="24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Tahoma">
    <w:panose1 w:val="020B0604030504040204"/>
  </w:font>
  <w:font w:name="Courier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832"/>
        <w:jc w:val="left"/>
        <w:spacing w:before="0" w:after="0" w:line="240" w:lineRule="auto"/>
        <w:rPr>
          <w:sz w:val="24"/>
        </w:rPr>
      </w:pPr>
      <w:r>
        <w:rPr>
          <w:rFonts w:ascii="Arial" w:hAnsi="Arial" w:eastAsia="Arial" w:cs="Arial"/>
          <w:sz w:val="24"/>
        </w:rPr>
        <w:separator/>
      </w:r>
      <w:r>
        <w:rPr>
          <w:sz w:val="24"/>
        </w:rPr>
      </w:r>
    </w:p>
  </w:footnote>
  <w:footnote w:type="continuationSeparator" w:id="0">
    <w:p>
      <w:pPr>
        <w:pStyle w:val="832"/>
        <w:jc w:val="left"/>
        <w:spacing w:before="0" w:after="0" w:line="240" w:lineRule="auto"/>
        <w:rPr>
          <w:sz w:val="24"/>
        </w:rPr>
      </w:pPr>
      <w:r>
        <w:rPr>
          <w:rFonts w:ascii="Arial" w:hAnsi="Arial" w:eastAsia="Arial" w:cs="Arial"/>
          <w:sz w:val="24"/>
        </w:rPr>
        <w:continuationSeparator/>
      </w:r>
      <w:r>
        <w:rPr>
          <w:sz w:val="24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</w:pPr>
    <w:fldSimple w:instr="PAGE \* MERGEFORMAT">
      <w:r>
        <w:t xml:space="preserve">1</w:t>
      </w:r>
    </w:fldSimple>
    <w:r/>
    <w:r/>
  </w:p>
  <w:p>
    <w:pPr>
      <w:pStyle w:val="682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beneathText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eachSect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 w:default="1">
    <w:name w:val="Normal"/>
    <w:qFormat/>
    <w:pPr>
      <w:jc w:val="left"/>
      <w:spacing w:before="0" w:after="0" w:line="240" w:lineRule="auto"/>
    </w:pPr>
    <w:rPr>
      <w:sz w:val="24"/>
    </w:rPr>
  </w:style>
  <w:style w:type="paragraph" w:styleId="654">
    <w:name w:val="Heading 1"/>
    <w:basedOn w:val="653"/>
    <w:qFormat/>
    <w:pPr>
      <w:jc w:val="left"/>
      <w:keepLines/>
      <w:keepNext/>
      <w:spacing w:before="480" w:after="200" w:line="240" w:lineRule="auto"/>
      <w:outlineLvl w:val="0"/>
    </w:pPr>
    <w:rPr>
      <w:rFonts w:ascii="Arial" w:hAnsi="Arial" w:eastAsia="Arial" w:cs="Arial"/>
      <w:sz w:val="40"/>
    </w:rPr>
  </w:style>
  <w:style w:type="character" w:styleId="655">
    <w:name w:val="Heading 1 Char"/>
    <w:rPr>
      <w:rFonts w:ascii="Arial" w:hAnsi="Arial" w:eastAsia="Arial" w:cs="Arial"/>
      <w:sz w:val="40"/>
    </w:rPr>
  </w:style>
  <w:style w:type="paragraph" w:styleId="656">
    <w:name w:val="Heading 2"/>
    <w:basedOn w:val="653"/>
    <w:unhideWhenUsed/>
    <w:qFormat/>
    <w:pPr>
      <w:jc w:val="left"/>
      <w:keepLines/>
      <w:keepNext/>
      <w:spacing w:before="360" w:after="200" w:line="240" w:lineRule="auto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rPr>
      <w:rFonts w:ascii="Arial" w:hAnsi="Arial" w:eastAsia="Arial" w:cs="Arial"/>
      <w:sz w:val="34"/>
    </w:rPr>
  </w:style>
  <w:style w:type="paragraph" w:styleId="658">
    <w:name w:val="Heading 3"/>
    <w:basedOn w:val="653"/>
    <w:unhideWhenUsed/>
    <w:qFormat/>
    <w:pPr>
      <w:jc w:val="left"/>
      <w:keepLines/>
      <w:keepNext/>
      <w:spacing w:before="320" w:after="200" w:line="240" w:lineRule="auto"/>
      <w:outlineLvl w:val="2"/>
    </w:pPr>
    <w:rPr>
      <w:rFonts w:ascii="Arial" w:hAnsi="Arial" w:eastAsia="Arial" w:cs="Arial"/>
      <w:sz w:val="30"/>
    </w:rPr>
  </w:style>
  <w:style w:type="character" w:styleId="659">
    <w:name w:val="Heading 3 Char"/>
    <w:rPr>
      <w:rFonts w:ascii="Arial" w:hAnsi="Arial" w:eastAsia="Arial" w:cs="Arial"/>
      <w:sz w:val="30"/>
    </w:rPr>
  </w:style>
  <w:style w:type="paragraph" w:styleId="660">
    <w:name w:val="Heading 4"/>
    <w:basedOn w:val="653"/>
    <w:unhideWhenUsed/>
    <w:qFormat/>
    <w:pPr>
      <w:jc w:val="left"/>
      <w:keepLines/>
      <w:keepNext/>
      <w:spacing w:before="320" w:after="200" w:line="240" w:lineRule="auto"/>
      <w:outlineLvl w:val="3"/>
    </w:pPr>
    <w:rPr>
      <w:rFonts w:ascii="Arial" w:hAnsi="Arial" w:eastAsia="Arial" w:cs="Arial"/>
      <w:b/>
      <w:sz w:val="26"/>
    </w:rPr>
  </w:style>
  <w:style w:type="character" w:styleId="661">
    <w:name w:val="Heading 4 Char"/>
    <w:rPr>
      <w:rFonts w:ascii="Arial" w:hAnsi="Arial" w:eastAsia="Arial" w:cs="Arial"/>
      <w:b/>
      <w:sz w:val="26"/>
    </w:rPr>
  </w:style>
  <w:style w:type="paragraph" w:styleId="662">
    <w:name w:val="Heading 5"/>
    <w:basedOn w:val="653"/>
    <w:unhideWhenUsed/>
    <w:qFormat/>
    <w:pPr>
      <w:jc w:val="left"/>
      <w:keepLines/>
      <w:keepNext/>
      <w:spacing w:before="320" w:after="200" w:line="240" w:lineRule="auto"/>
      <w:outlineLvl w:val="4"/>
    </w:pPr>
    <w:rPr>
      <w:rFonts w:ascii="Arial" w:hAnsi="Arial" w:eastAsia="Arial" w:cs="Arial"/>
      <w:b/>
      <w:sz w:val="24"/>
    </w:rPr>
  </w:style>
  <w:style w:type="character" w:styleId="663">
    <w:name w:val="Heading 5 Char"/>
    <w:rPr>
      <w:rFonts w:ascii="Arial" w:hAnsi="Arial" w:eastAsia="Arial" w:cs="Arial"/>
      <w:b/>
      <w:sz w:val="24"/>
    </w:rPr>
  </w:style>
  <w:style w:type="paragraph" w:styleId="664">
    <w:name w:val="Heading 6"/>
    <w:basedOn w:val="653"/>
    <w:unhideWhenUsed/>
    <w:qFormat/>
    <w:pPr>
      <w:jc w:val="left"/>
      <w:keepLines/>
      <w:keepNext/>
      <w:spacing w:before="320" w:after="200" w:line="240" w:lineRule="auto"/>
      <w:outlineLvl w:val="5"/>
    </w:pPr>
    <w:rPr>
      <w:rFonts w:ascii="Arial" w:hAnsi="Arial" w:eastAsia="Arial" w:cs="Arial"/>
      <w:b/>
      <w:sz w:val="22"/>
    </w:rPr>
  </w:style>
  <w:style w:type="character" w:styleId="665">
    <w:name w:val="Heading 6 Char"/>
    <w:rPr>
      <w:rFonts w:ascii="Arial" w:hAnsi="Arial" w:eastAsia="Arial" w:cs="Arial"/>
      <w:b/>
      <w:sz w:val="22"/>
    </w:rPr>
  </w:style>
  <w:style w:type="paragraph" w:styleId="666">
    <w:name w:val="Heading 7"/>
    <w:basedOn w:val="653"/>
    <w:unhideWhenUsed/>
    <w:qFormat/>
    <w:pPr>
      <w:jc w:val="left"/>
      <w:keepLines/>
      <w:keepNext/>
      <w:spacing w:before="320" w:after="200" w:line="240" w:lineRule="auto"/>
      <w:outlineLvl w:val="6"/>
    </w:pPr>
    <w:rPr>
      <w:rFonts w:ascii="Arial" w:hAnsi="Arial" w:eastAsia="Arial" w:cs="Arial"/>
      <w:b/>
      <w:i/>
      <w:sz w:val="22"/>
    </w:rPr>
  </w:style>
  <w:style w:type="character" w:styleId="667">
    <w:name w:val="Heading 7 Char"/>
    <w:rPr>
      <w:rFonts w:ascii="Arial" w:hAnsi="Arial" w:eastAsia="Arial" w:cs="Arial"/>
      <w:b/>
      <w:i/>
      <w:sz w:val="22"/>
    </w:rPr>
  </w:style>
  <w:style w:type="paragraph" w:styleId="668">
    <w:name w:val="Heading 8"/>
    <w:basedOn w:val="653"/>
    <w:unhideWhenUsed/>
    <w:qFormat/>
    <w:pPr>
      <w:jc w:val="left"/>
      <w:keepLines/>
      <w:keepNext/>
      <w:spacing w:before="320" w:after="200" w:line="240" w:lineRule="auto"/>
      <w:outlineLvl w:val="7"/>
    </w:pPr>
    <w:rPr>
      <w:rFonts w:ascii="Arial" w:hAnsi="Arial" w:eastAsia="Arial" w:cs="Arial"/>
      <w:i/>
      <w:sz w:val="22"/>
    </w:rPr>
  </w:style>
  <w:style w:type="character" w:styleId="669">
    <w:name w:val="Heading 8 Char"/>
    <w:rPr>
      <w:rFonts w:ascii="Arial" w:hAnsi="Arial" w:eastAsia="Arial" w:cs="Arial"/>
      <w:i/>
      <w:sz w:val="22"/>
    </w:rPr>
  </w:style>
  <w:style w:type="paragraph" w:styleId="670">
    <w:name w:val="Heading 9"/>
    <w:basedOn w:val="653"/>
    <w:unhideWhenUsed/>
    <w:qFormat/>
    <w:pPr>
      <w:jc w:val="left"/>
      <w:keepLines/>
      <w:keepNext/>
      <w:spacing w:before="320" w:after="200" w:line="240" w:lineRule="auto"/>
      <w:outlineLvl w:val="8"/>
    </w:pPr>
    <w:rPr>
      <w:rFonts w:ascii="Arial" w:hAnsi="Arial" w:eastAsia="Arial" w:cs="Arial"/>
      <w:i/>
      <w:sz w:val="21"/>
    </w:rPr>
  </w:style>
  <w:style w:type="character" w:styleId="671">
    <w:name w:val="Heading 9 Char"/>
    <w:rPr>
      <w:rFonts w:ascii="Arial" w:hAnsi="Arial" w:eastAsia="Arial" w:cs="Arial"/>
      <w:i/>
      <w:sz w:val="21"/>
    </w:rPr>
  </w:style>
  <w:style w:type="paragraph" w:styleId="672">
    <w:name w:val="List Paragraph"/>
    <w:basedOn w:val="653"/>
    <w:qFormat/>
    <w:pPr>
      <w:contextualSpacing/>
      <w:ind w:left="720"/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673">
    <w:name w:val="No Spacing"/>
    <w:qFormat/>
    <w:pPr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674">
    <w:name w:val="Title"/>
    <w:basedOn w:val="653"/>
    <w:qFormat/>
    <w:pPr>
      <w:contextualSpacing/>
      <w:jc w:val="left"/>
      <w:spacing w:before="300" w:after="200" w:line="240" w:lineRule="auto"/>
    </w:pPr>
    <w:rPr>
      <w:rFonts w:ascii="Arial" w:hAnsi="Arial" w:eastAsia="Arial" w:cs="Arial"/>
      <w:sz w:val="48"/>
    </w:rPr>
  </w:style>
  <w:style w:type="character" w:styleId="675">
    <w:name w:val="Title Char"/>
    <w:rPr>
      <w:rFonts w:ascii="Arial" w:hAnsi="Arial" w:eastAsia="Arial" w:cs="Arial"/>
      <w:sz w:val="48"/>
    </w:rPr>
  </w:style>
  <w:style w:type="paragraph" w:styleId="676">
    <w:name w:val="Subtitle"/>
    <w:basedOn w:val="653"/>
    <w:qFormat/>
    <w:pPr>
      <w:jc w:val="left"/>
      <w:spacing w:before="200" w:after="200" w:line="240" w:lineRule="auto"/>
    </w:pPr>
    <w:rPr>
      <w:rFonts w:ascii="Arial" w:hAnsi="Arial" w:eastAsia="Arial" w:cs="Arial"/>
      <w:sz w:val="24"/>
    </w:rPr>
  </w:style>
  <w:style w:type="character" w:styleId="677">
    <w:name w:val="Subtitle Char"/>
    <w:rPr>
      <w:rFonts w:ascii="Arial" w:hAnsi="Arial" w:eastAsia="Arial" w:cs="Arial"/>
      <w:sz w:val="24"/>
    </w:rPr>
  </w:style>
  <w:style w:type="paragraph" w:styleId="678">
    <w:name w:val="Quote"/>
    <w:basedOn w:val="653"/>
    <w:qFormat/>
    <w:pPr>
      <w:ind w:left="720"/>
      <w:jc w:val="left"/>
      <w:spacing w:before="0" w:after="0" w:line="240" w:lineRule="auto"/>
    </w:pPr>
    <w:rPr>
      <w:rFonts w:ascii="Arial" w:hAnsi="Arial" w:eastAsia="Arial" w:cs="Arial"/>
      <w:i/>
      <w:sz w:val="24"/>
    </w:rPr>
  </w:style>
  <w:style w:type="character" w:styleId="679">
    <w:name w:val="Quote Char"/>
    <w:rPr>
      <w:rFonts w:ascii="Arial" w:hAnsi="Arial" w:eastAsia="Arial" w:cs="Arial"/>
      <w:i/>
      <w:sz w:val="24"/>
    </w:rPr>
  </w:style>
  <w:style w:type="paragraph" w:styleId="680">
    <w:name w:val="Intense Quote"/>
    <w:basedOn w:val="653"/>
    <w:qFormat/>
    <w:pPr>
      <w:contextualSpacing w:val="0"/>
      <w:ind w:left="720"/>
      <w:jc w:val="left"/>
      <w:spacing w:before="0" w:after="0" w:line="240" w:lineRule="auto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Arial" w:hAnsi="Arial" w:eastAsia="Arial" w:cs="Arial"/>
      <w:i/>
      <w:sz w:val="24"/>
    </w:rPr>
  </w:style>
  <w:style w:type="character" w:styleId="681">
    <w:name w:val="Intense Quote Char"/>
    <w:rPr>
      <w:rFonts w:ascii="Arial" w:hAnsi="Arial" w:eastAsia="Arial" w:cs="Arial"/>
      <w:i/>
      <w:sz w:val="24"/>
    </w:rPr>
  </w:style>
  <w:style w:type="paragraph" w:styleId="682">
    <w:name w:val="Header"/>
    <w:basedOn w:val="653"/>
    <w:unhideWhenUsed/>
    <w:pPr>
      <w:jc w:val="left"/>
      <w:spacing w:before="0" w:after="0" w:line="240" w:lineRule="auto"/>
      <w:tabs>
        <w:tab w:val="center" w:pos="7143" w:leader="none"/>
        <w:tab w:val="right" w:pos="14287" w:leader="none"/>
      </w:tabs>
    </w:pPr>
    <w:rPr>
      <w:rFonts w:ascii="Arial" w:hAnsi="Arial" w:eastAsia="Arial" w:cs="Arial"/>
      <w:sz w:val="24"/>
    </w:rPr>
  </w:style>
  <w:style w:type="character" w:styleId="683">
    <w:name w:val="Header Char"/>
    <w:rPr>
      <w:rFonts w:ascii="Arial" w:hAnsi="Arial" w:eastAsia="Arial" w:cs="Arial"/>
      <w:sz w:val="24"/>
    </w:rPr>
  </w:style>
  <w:style w:type="paragraph" w:styleId="684">
    <w:name w:val="Footer"/>
    <w:basedOn w:val="653"/>
    <w:unhideWhenUsed/>
    <w:pPr>
      <w:jc w:val="left"/>
      <w:spacing w:before="0" w:after="0" w:line="240" w:lineRule="auto"/>
      <w:tabs>
        <w:tab w:val="center" w:pos="7143" w:leader="none"/>
        <w:tab w:val="right" w:pos="14287" w:leader="none"/>
      </w:tabs>
    </w:pPr>
    <w:rPr>
      <w:rFonts w:ascii="Arial" w:hAnsi="Arial" w:eastAsia="Arial" w:cs="Arial"/>
      <w:sz w:val="24"/>
    </w:rPr>
  </w:style>
  <w:style w:type="character" w:styleId="685">
    <w:name w:val="Footer Char"/>
    <w:rPr>
      <w:rFonts w:ascii="Arial" w:hAnsi="Arial" w:eastAsia="Arial" w:cs="Arial"/>
      <w:sz w:val="24"/>
    </w:rPr>
  </w:style>
  <w:style w:type="paragraph" w:styleId="686">
    <w:name w:val="Caption"/>
    <w:basedOn w:val="653"/>
    <w:semiHidden/>
    <w:unhideWhenUsed/>
    <w:qFormat/>
    <w:pPr>
      <w:jc w:val="left"/>
      <w:spacing w:before="0" w:after="0" w:line="276" w:lineRule="auto"/>
    </w:pPr>
    <w:rPr>
      <w:rFonts w:ascii="Arial" w:hAnsi="Arial" w:eastAsia="Arial" w:cs="Arial"/>
      <w:b/>
      <w:color w:val="4f81bd"/>
      <w:sz w:val="18"/>
    </w:rPr>
  </w:style>
  <w:style w:type="character" w:styleId="687">
    <w:name w:val="Caption Char"/>
    <w:basedOn w:val="686"/>
    <w:rPr>
      <w:rFonts w:ascii="Arial" w:hAnsi="Arial" w:eastAsia="Arial" w:cs="Arial"/>
      <w:sz w:val="24"/>
    </w:rPr>
  </w:style>
  <w:style w:type="table" w:styleId="688">
    <w:name w:val="Table Grid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693">
    <w:name w:val="Plain Table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694">
    <w:name w:val="Plain Table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695">
    <w:name w:val="Grid Table 1 Light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6">
    <w:name w:val="Grid Table 1 Light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7">
    <w:name w:val="Grid Table 1 Light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8">
    <w:name w:val="Grid Table 1 Light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9">
    <w:name w:val="Grid Table 1 Light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0">
    <w:name w:val="Grid Table 1 Light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1">
    <w:name w:val="Grid Table 1 Light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2">
    <w:name w:val="Grid Table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3">
    <w:name w:val="Grid Table 2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4">
    <w:name w:val="Grid Table 2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5">
    <w:name w:val="Grid Table 2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6">
    <w:name w:val="Grid Table 2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7">
    <w:name w:val="Grid Table 2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8">
    <w:name w:val="Grid Table 2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9">
    <w:name w:val="Grid Table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0">
    <w:name w:val="Grid Table 3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1">
    <w:name w:val="Grid Table 3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2">
    <w:name w:val="Grid Table 3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3">
    <w:name w:val="Grid Table 3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4">
    <w:name w:val="Grid Table 3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5">
    <w:name w:val="Grid Table 3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6">
    <w:name w:val="Grid Table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7">
    <w:name w:val="Grid Table 4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8">
    <w:name w:val="Grid Table 4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9">
    <w:name w:val="Grid Table 4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0">
    <w:name w:val="Grid Table 4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1">
    <w:name w:val="Grid Table 4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2">
    <w:name w:val="Grid Table 4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3">
    <w:name w:val="Grid Table 5 Dark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bfbfbf"/>
      <w:tblLayout w:type="autofit"/>
      <w:tblCellMar>
        <w:left w:w="0" w:type="dxa"/>
        <w:right w:w="0" w:type="dxa"/>
      </w:tblCellMar>
    </w:tblPr>
  </w:style>
  <w:style w:type="table" w:styleId="724">
    <w:name w:val="Grid Table 5 Dark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dae5f1"/>
      <w:tblLayout w:type="autofit"/>
      <w:tblCellMar>
        <w:left w:w="0" w:type="dxa"/>
        <w:right w:w="0" w:type="dxa"/>
      </w:tblCellMar>
    </w:tblPr>
  </w:style>
  <w:style w:type="table" w:styleId="725">
    <w:name w:val="Grid Table 5 Dark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f2dcdb"/>
      <w:tblLayout w:type="autofit"/>
      <w:tblCellMar>
        <w:left w:w="0" w:type="dxa"/>
        <w:right w:w="0" w:type="dxa"/>
      </w:tblCellMar>
    </w:tblPr>
  </w:style>
  <w:style w:type="table" w:styleId="726">
    <w:name w:val="Grid Table 5 Dark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eaf0dd"/>
      <w:tblLayout w:type="autofit"/>
      <w:tblCellMar>
        <w:left w:w="0" w:type="dxa"/>
        <w:right w:w="0" w:type="dxa"/>
      </w:tblCellMar>
    </w:tblPr>
  </w:style>
  <w:style w:type="table" w:styleId="727">
    <w:name w:val="Grid Table 5 Dark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e5dfec"/>
      <w:tblLayout w:type="autofit"/>
      <w:tblCellMar>
        <w:left w:w="0" w:type="dxa"/>
        <w:right w:w="0" w:type="dxa"/>
      </w:tblCellMar>
    </w:tblPr>
  </w:style>
  <w:style w:type="table" w:styleId="728">
    <w:name w:val="Grid Table 5 Dark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daeef3"/>
      <w:tblLayout w:type="autofit"/>
      <w:tblCellMar>
        <w:left w:w="0" w:type="dxa"/>
        <w:right w:w="0" w:type="dxa"/>
      </w:tblCellMar>
    </w:tblPr>
  </w:style>
  <w:style w:type="table" w:styleId="729">
    <w:name w:val="Grid Table 5 Dark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fde9d8"/>
      <w:tblLayout w:type="autofit"/>
      <w:tblCellMar>
        <w:left w:w="0" w:type="dxa"/>
        <w:right w:w="0" w:type="dxa"/>
      </w:tblCellMar>
    </w:tblPr>
  </w:style>
  <w:style w:type="table" w:styleId="730">
    <w:name w:val="Grid Table 6 Colorful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1">
    <w:name w:val="Grid Table 6 Colorful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2">
    <w:name w:val="Grid Table 6 Colorful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3">
    <w:name w:val="Grid Table 6 Colorful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4">
    <w:name w:val="Grid Table 6 Colorful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5">
    <w:name w:val="Grid Table 6 Colorful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6">
    <w:name w:val="Grid Table 6 Colorful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7">
    <w:name w:val="Grid Table 7 Colorful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8">
    <w:name w:val="Grid Table 7 Colorful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9">
    <w:name w:val="Grid Table 7 Colorful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0">
    <w:name w:val="Grid Table 7 Colorful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1">
    <w:name w:val="Grid Table 7 Colorful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2">
    <w:name w:val="Grid Table 7 Colorful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3">
    <w:name w:val="Grid Table 7 Colorful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4">
    <w:name w:val="List Table 1 Light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5">
    <w:name w:val="List Table 1 Light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6">
    <w:name w:val="List Table 1 Light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7">
    <w:name w:val="List Table 1 Light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8">
    <w:name w:val="List Table 1 Light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9">
    <w:name w:val="List Table 1 Light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0">
    <w:name w:val="List Table 1 Light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1">
    <w:name w:val="List Table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2">
    <w:name w:val="List Table 2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3">
    <w:name w:val="List Table 2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4">
    <w:name w:val="List Table 2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5">
    <w:name w:val="List Table 2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6">
    <w:name w:val="List Table 2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7">
    <w:name w:val="List Table 2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8">
    <w:name w:val="List Table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9">
    <w:name w:val="List Table 3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0">
    <w:name w:val="List Table 3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1">
    <w:name w:val="List Table 3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2">
    <w:name w:val="List Table 3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3">
    <w:name w:val="List Table 3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4">
    <w:name w:val="List Table 3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5">
    <w:name w:val="List Table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6">
    <w:name w:val="List Table 4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7">
    <w:name w:val="List Table 4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8">
    <w:name w:val="List Table 4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9">
    <w:name w:val="List Table 4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0">
    <w:name w:val="List Table 4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1">
    <w:name w:val="List Table 4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2">
    <w:name w:val="List Table 5 Dark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7f7f7f"/>
      <w:tblLayout w:type="autofit"/>
      <w:tblCellMar>
        <w:left w:w="0" w:type="dxa"/>
        <w:right w:w="0" w:type="dxa"/>
      </w:tblCellMar>
    </w:tblPr>
  </w:style>
  <w:style w:type="table" w:styleId="773">
    <w:name w:val="List Table 5 Dark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4f81bd"/>
      <w:tblLayout w:type="autofit"/>
      <w:tblCellMar>
        <w:left w:w="0" w:type="dxa"/>
        <w:right w:w="0" w:type="dxa"/>
      </w:tblCellMar>
    </w:tblPr>
  </w:style>
  <w:style w:type="table" w:styleId="774">
    <w:name w:val="List Table 5 Dark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d99694"/>
      <w:tblLayout w:type="autofit"/>
      <w:tblCellMar>
        <w:left w:w="0" w:type="dxa"/>
        <w:right w:w="0" w:type="dxa"/>
      </w:tblCellMar>
    </w:tblPr>
  </w:style>
  <w:style w:type="table" w:styleId="775">
    <w:name w:val="List Table 5 Dark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c3d69b"/>
      <w:tblLayout w:type="autofit"/>
      <w:tblCellMar>
        <w:left w:w="0" w:type="dxa"/>
        <w:right w:w="0" w:type="dxa"/>
      </w:tblCellMar>
    </w:tblPr>
  </w:style>
  <w:style w:type="table" w:styleId="776">
    <w:name w:val="List Table 5 Dark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b2a1c6"/>
      <w:tblLayout w:type="autofit"/>
      <w:tblCellMar>
        <w:left w:w="0" w:type="dxa"/>
        <w:right w:w="0" w:type="dxa"/>
      </w:tblCellMar>
    </w:tblPr>
  </w:style>
  <w:style w:type="table" w:styleId="777">
    <w:name w:val="List Table 5 Dark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91cddc"/>
      <w:tblLayout w:type="autofit"/>
      <w:tblCellMar>
        <w:left w:w="0" w:type="dxa"/>
        <w:right w:w="0" w:type="dxa"/>
      </w:tblCellMar>
    </w:tblPr>
  </w:style>
  <w:style w:type="table" w:styleId="778">
    <w:name w:val="List Table 5 Dark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f9bf90"/>
      <w:tblLayout w:type="autofit"/>
      <w:tblCellMar>
        <w:left w:w="0" w:type="dxa"/>
        <w:right w:w="0" w:type="dxa"/>
      </w:tblCellMar>
    </w:tblPr>
  </w:style>
  <w:style w:type="table" w:styleId="779">
    <w:name w:val="List Table 6 Colorful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0">
    <w:name w:val="List Table 6 Colorful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1">
    <w:name w:val="List Table 6 Colorful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2">
    <w:name w:val="List Table 6 Colorful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3">
    <w:name w:val="List Table 6 Colorful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4">
    <w:name w:val="List Table 6 Colorful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5">
    <w:name w:val="List Table 6 Colorful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6">
    <w:name w:val="List Table 7 Colorful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7">
    <w:name w:val="List Table 7 Colorful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8">
    <w:name w:val="List Table 7 Colorful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9">
    <w:name w:val="List Table 7 Colorful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0">
    <w:name w:val="List Table 7 Colorful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1">
    <w:name w:val="List Table 7 Colorful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2">
    <w:name w:val="List Table 7 Colorful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3">
    <w:name w:val="Lined - Accent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4">
    <w:name w:val="Lined - Accent 1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5">
    <w:name w:val="Lined - Accent 2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6">
    <w:name w:val="Lined - Accent 3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7">
    <w:name w:val="Lined - Accent 4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8">
    <w:name w:val="Lined - Accent 5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9">
    <w:name w:val="Lined - Accent 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0">
    <w:name w:val="Bordered &amp; Lined - Accent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1">
    <w:name w:val="Bordered &amp; Lined - Accent 1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2">
    <w:name w:val="Bordered &amp; Lined - Accent 2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3">
    <w:name w:val="Bordered &amp; Lined - Accent 3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4">
    <w:name w:val="Bordered &amp; Lined - Accent 4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5">
    <w:name w:val="Bordered &amp; Lined - Accent 5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6">
    <w:name w:val="Bordered &amp; Lined - Accent 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7">
    <w:name w:val="Bordered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8">
    <w:name w:val="Bordered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9">
    <w:name w:val="Bordered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0">
    <w:name w:val="Bordered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1">
    <w:name w:val="Bordered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2">
    <w:name w:val="Bordered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3">
    <w:name w:val="Bordered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character" w:styleId="814">
    <w:name w:val="Hyperlink"/>
    <w:unhideWhenUsed/>
    <w:rPr>
      <w:rFonts w:ascii="Arial" w:hAnsi="Arial" w:eastAsia="Arial" w:cs="Arial"/>
      <w:color w:val="0000ff"/>
      <w:sz w:val="24"/>
      <w:u w:val="single"/>
    </w:rPr>
  </w:style>
  <w:style w:type="paragraph" w:styleId="815">
    <w:name w:val="footnote text"/>
    <w:basedOn w:val="653"/>
    <w:semiHidden/>
    <w:unhideWhenUsed/>
    <w:pPr>
      <w:jc w:val="left"/>
      <w:spacing w:before="0" w:after="40" w:line="240" w:lineRule="auto"/>
    </w:pPr>
    <w:rPr>
      <w:rFonts w:ascii="Arial" w:hAnsi="Arial" w:eastAsia="Arial" w:cs="Arial"/>
      <w:sz w:val="18"/>
    </w:rPr>
  </w:style>
  <w:style w:type="character" w:styleId="816">
    <w:name w:val="Footnote Text Char"/>
    <w:rPr>
      <w:rFonts w:ascii="Arial" w:hAnsi="Arial" w:eastAsia="Arial" w:cs="Arial"/>
      <w:sz w:val="18"/>
    </w:rPr>
  </w:style>
  <w:style w:type="character" w:styleId="817">
    <w:name w:val="footnote reference"/>
    <w:unhideWhenUsed/>
    <w:rPr>
      <w:rFonts w:ascii="Arial" w:hAnsi="Arial" w:eastAsia="Arial" w:cs="Arial"/>
      <w:sz w:val="24"/>
      <w:vertAlign w:val="superscript"/>
    </w:rPr>
  </w:style>
  <w:style w:type="paragraph" w:styleId="818">
    <w:name w:val="endnote text"/>
    <w:basedOn w:val="653"/>
    <w:semiHidden/>
    <w:unhideWhenUsed/>
    <w:pPr>
      <w:jc w:val="left"/>
      <w:spacing w:before="0" w:after="0" w:line="240" w:lineRule="auto"/>
    </w:pPr>
    <w:rPr>
      <w:rFonts w:ascii="Arial" w:hAnsi="Arial" w:eastAsia="Arial" w:cs="Arial"/>
      <w:sz w:val="20"/>
    </w:rPr>
  </w:style>
  <w:style w:type="character" w:styleId="819">
    <w:name w:val="Endnote Text Char"/>
    <w:rPr>
      <w:rFonts w:ascii="Arial" w:hAnsi="Arial" w:eastAsia="Arial" w:cs="Arial"/>
      <w:sz w:val="20"/>
    </w:rPr>
  </w:style>
  <w:style w:type="character" w:styleId="820">
    <w:name w:val="endnote reference"/>
    <w:semiHidden/>
    <w:unhideWhenUsed/>
    <w:rPr>
      <w:rFonts w:ascii="Arial" w:hAnsi="Arial" w:eastAsia="Arial" w:cs="Arial"/>
      <w:sz w:val="24"/>
      <w:vertAlign w:val="superscript"/>
    </w:rPr>
  </w:style>
  <w:style w:type="paragraph" w:styleId="821">
    <w:name w:val="toc 1"/>
    <w:basedOn w:val="653"/>
    <w:unhideWhenUsed/>
    <w:pPr>
      <w:ind w:left="0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22">
    <w:name w:val="toc 2"/>
    <w:basedOn w:val="653"/>
    <w:unhideWhenUsed/>
    <w:pPr>
      <w:ind w:left="283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23">
    <w:name w:val="toc 3"/>
    <w:basedOn w:val="653"/>
    <w:unhideWhenUsed/>
    <w:pPr>
      <w:ind w:left="567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24">
    <w:name w:val="toc 4"/>
    <w:basedOn w:val="653"/>
    <w:unhideWhenUsed/>
    <w:pPr>
      <w:ind w:left="850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25">
    <w:name w:val="toc 5"/>
    <w:basedOn w:val="653"/>
    <w:unhideWhenUsed/>
    <w:pPr>
      <w:ind w:left="1134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26">
    <w:name w:val="toc 6"/>
    <w:basedOn w:val="653"/>
    <w:unhideWhenUsed/>
    <w:pPr>
      <w:ind w:left="1417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27">
    <w:name w:val="toc 7"/>
    <w:basedOn w:val="653"/>
    <w:unhideWhenUsed/>
    <w:pPr>
      <w:ind w:left="1701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28">
    <w:name w:val="toc 8"/>
    <w:basedOn w:val="653"/>
    <w:unhideWhenUsed/>
    <w:pPr>
      <w:ind w:left="1984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29">
    <w:name w:val="toc 9"/>
    <w:basedOn w:val="653"/>
    <w:unhideWhenUsed/>
    <w:pPr>
      <w:ind w:left="2268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30">
    <w:name w:val="TOC Heading"/>
    <w:unhideWhenUsed/>
    <w:pPr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831">
    <w:name w:val="table of figures"/>
    <w:basedOn w:val="653"/>
    <w:unhideWhenUsed/>
    <w:pPr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832">
    <w:name w:val="       ConsPlusNormal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16"/>
    </w:rPr>
  </w:style>
  <w:style w:type="paragraph" w:styleId="833">
    <w:name w:val="       ConsPlusNonformat"/>
    <w:pPr>
      <w:jc w:val="left"/>
      <w:spacing w:before="0" w:after="0" w:line="240" w:lineRule="auto"/>
    </w:pPr>
    <w:rPr>
      <w:rFonts w:ascii="CourierNew" w:hAnsi="CourierNew" w:eastAsia="CourierNew" w:cs="CourierNew"/>
      <w:b w:val="0"/>
      <w:i w:val="0"/>
      <w:strike w:val="0"/>
      <w:sz w:val="20"/>
    </w:rPr>
  </w:style>
  <w:style w:type="paragraph" w:styleId="834">
    <w:name w:val="       ConsPlusTitle"/>
    <w:pPr>
      <w:jc w:val="left"/>
      <w:spacing w:before="0" w:after="0" w:line="240" w:lineRule="auto"/>
    </w:pPr>
    <w:rPr>
      <w:rFonts w:ascii="Arial" w:hAnsi="Arial" w:eastAsia="Arial" w:cs="Arial"/>
      <w:b/>
      <w:i w:val="0"/>
      <w:strike w:val="0"/>
      <w:sz w:val="16"/>
    </w:rPr>
  </w:style>
  <w:style w:type="paragraph" w:styleId="835">
    <w:name w:val="       ConsPlusCell"/>
    <w:pPr>
      <w:jc w:val="left"/>
      <w:spacing w:before="0" w:after="0" w:line="240" w:lineRule="auto"/>
    </w:pPr>
    <w:rPr>
      <w:rFonts w:ascii="CourierNew" w:hAnsi="CourierNew" w:eastAsia="CourierNew" w:cs="CourierNew"/>
      <w:b w:val="0"/>
      <w:i w:val="0"/>
      <w:strike w:val="0"/>
      <w:sz w:val="20"/>
    </w:rPr>
  </w:style>
  <w:style w:type="paragraph" w:styleId="836">
    <w:name w:val="       ConsPlusDocList"/>
    <w:pPr>
      <w:jc w:val="left"/>
      <w:spacing w:before="0" w:after="0" w:line="240" w:lineRule="auto"/>
    </w:pPr>
    <w:rPr>
      <w:rFonts w:ascii="CourierNew" w:hAnsi="CourierNew" w:eastAsia="CourierNew" w:cs="CourierNew"/>
      <w:b w:val="0"/>
      <w:i w:val="0"/>
      <w:strike w:val="0"/>
      <w:sz w:val="16"/>
    </w:rPr>
  </w:style>
  <w:style w:type="paragraph" w:styleId="837">
    <w:name w:val="       ConsPlusTitlePage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16"/>
    </w:rPr>
  </w:style>
  <w:style w:type="paragraph" w:styleId="838">
    <w:name w:val="       ConsPlusJurTerm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26"/>
    </w:rPr>
  </w:style>
  <w:style w:type="paragraph" w:styleId="839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paragraph" w:styleId="840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character" w:styleId="841" w:default="1">
    <w:name w:val="Default Paragraph Font"/>
    <w:semiHidden/>
    <w:unhideWhenUsed/>
    <w:rPr>
      <w:rFonts w:ascii="Arial" w:hAnsi="Arial" w:eastAsia="Arial" w:cs="Arial"/>
      <w:sz w:val="24"/>
    </w:rPr>
  </w:style>
  <w:style w:type="table" w:styleId="842" w:default="1">
    <w:name w:val="Normal Table"/>
    <w:semiHidden/>
    <w:unhideWhenUsed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numbering" w:styleId="195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hyperlink" Target="https://login.consultant.ru/link/?req=doc&amp;base=LAW&amp;n=460029&amp;dst=1091" TargetMode="External"/><Relationship Id="rId12" Type="http://schemas.openxmlformats.org/officeDocument/2006/relationships/hyperlink" Target="https://login.consultant.ru/link/?req=doc&amp;base=RLAW201&amp;n=76040&amp;dst=100495" TargetMode="External"/><Relationship Id="rId13" Type="http://schemas.openxmlformats.org/officeDocument/2006/relationships/hyperlink" Target="https://login.consultant.ru/link/?req=doc&amp;base=LAW&amp;n=460029&amp;dst=101676" TargetMode="External"/><Relationship Id="rId14" Type="http://schemas.openxmlformats.org/officeDocument/2006/relationships/hyperlink" Target="https://login.consultant.ru/link/?req=doc&amp;base=LAW&amp;n=460029&amp;dst=101677" TargetMode="External"/><Relationship Id="rId15" Type="http://schemas.openxmlformats.org/officeDocument/2006/relationships/hyperlink" Target="https://login.consultant.ru/link/?req=doc&amp;base=RLAW201&amp;n=55578" TargetMode="External"/><Relationship Id="rId16" Type="http://schemas.openxmlformats.org/officeDocument/2006/relationships/hyperlink" Target="https://login.consultant.ru/link/?req=doc&amp;base=LAW&amp;n=460029" TargetMode="External"/><Relationship Id="rId17" Type="http://schemas.openxmlformats.org/officeDocument/2006/relationships/hyperlink" Target="https://login.consultant.ru/link/?req=doc&amp;base=LAW&amp;n=449455&amp;dst=10123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Брянской области от 17.04.2023 N 150-п&amp;amp;quot;Об утверждении Порядка и сроков подписания акта приемки оказанных услуг и (или) выполненных работ по капитальному ремонту общего имущества в многоквартирном доме, а также порядка взаимодействия участников подписания такого акта, в том числе с комиссией, осуществляющей приемку оказанных услуг и (или) выполненных работ&amp;amp;quot;</dc:title>
  <dc:creator/>
  <cp:revision>1</cp:revision>
  <dcterms:modified xsi:type="dcterms:W3CDTF">2024-02-15T01:56:28Z</dcterms:modified>
</cp:coreProperties>
</file>